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9"/>
        <w:gridCol w:w="4386"/>
        <w:gridCol w:w="5279"/>
        <w:gridCol w:w="146"/>
      </w:tblGrid>
      <w:tr w:rsidR="00F76DFF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F76DFF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76DFF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76DFF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Gertrúda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RNDr., PhD.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1D2" w:rsidRPr="001C71D2" w:rsidRDefault="00A973C8" w:rsidP="001C71D2">
            <w:pPr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C71D2" w:rsidRPr="001C71D2">
              <w:rPr>
                <w:sz w:val="16"/>
                <w:szCs w:val="16"/>
              </w:rPr>
              <w:t>https://www.portalvs.sk/regzam/detail/12302</w:t>
            </w:r>
          </w:p>
          <w:p w:rsidR="00F76DFF" w:rsidRDefault="00F76DFF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1C71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 w:rsidR="001C7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Public Health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 w:rsidP="009E3E36">
            <w:pPr>
              <w:pStyle w:val="Textpoznmkypodiarou"/>
              <w:jc w:val="both"/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  <w:r w:rsidR="003F48AE">
              <w:rPr>
                <w:rFonts w:ascii="Calibri" w:hAnsi="Calibri" w:cs="Calibri"/>
                <w:bCs/>
                <w:sz w:val="16"/>
                <w:szCs w:val="16"/>
              </w:rPr>
              <w:t xml:space="preserve"> </w:t>
            </w:r>
            <w:r w:rsidR="003F48AE">
              <w:br/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Jackulíková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Mária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Vranková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Emília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Bartkovjak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Marián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Mikolášová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Gertrúda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Kozoň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Vlastimil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r w:rsidR="003F48AE" w:rsidRPr="0072726E">
              <w:rPr>
                <w:rFonts w:cstheme="minorHAnsi"/>
                <w:sz w:val="16"/>
                <w:szCs w:val="16"/>
              </w:rPr>
              <w:t>Oláh, Michal</w:t>
            </w:r>
            <w:r w:rsidR="0072726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F48AE" w:rsidRPr="0072726E">
              <w:rPr>
                <w:rFonts w:cstheme="minorHAnsi"/>
                <w:sz w:val="16"/>
                <w:szCs w:val="16"/>
              </w:rPr>
              <w:t>Miklošková</w:t>
            </w:r>
            <w:proofErr w:type="spellEnd"/>
            <w:r w:rsidR="003F48AE" w:rsidRPr="0072726E">
              <w:rPr>
                <w:rFonts w:cstheme="minorHAnsi"/>
                <w:sz w:val="16"/>
                <w:szCs w:val="16"/>
              </w:rPr>
              <w:t>, Monika</w:t>
            </w:r>
            <w:r w:rsidR="0072726E" w:rsidRPr="0072726E">
              <w:rPr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The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quality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of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lives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of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unaccompanied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minors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migrating</w:t>
            </w:r>
            <w:proofErr w:type="spellEnd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 xml:space="preserve"> to </w:t>
            </w:r>
            <w:proofErr w:type="spellStart"/>
            <w:r w:rsidR="0072726E" w:rsidRPr="0072726E">
              <w:rPr>
                <w:rFonts w:cstheme="minorHAnsi"/>
                <w:bCs/>
                <w:color w:val="333333"/>
                <w:sz w:val="16"/>
                <w:szCs w:val="16"/>
                <w:shd w:val="clear" w:color="auto" w:fill="F5F5F5"/>
              </w:rPr>
              <w:t>Europe</w:t>
            </w:r>
            <w:proofErr w:type="spellEnd"/>
          </w:p>
          <w:p w:rsidR="0072726E" w:rsidRPr="0072726E" w:rsidRDefault="0072726E" w:rsidP="009E3E36">
            <w:pPr>
              <w:pStyle w:val="Textpoznmkypodiarou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2726E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72726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11, č. 1 (2020), s. 28-31 [tlačená forma] [online]</w:t>
            </w:r>
          </w:p>
          <w:p w:rsidR="00F76DFF" w:rsidRPr="003F48AE" w:rsidRDefault="00F76DFF" w:rsidP="003F48AE">
            <w:pPr>
              <w:pStyle w:val="Normlny1"/>
              <w:jc w:val="both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973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5C5CDB" w:rsidRDefault="005C5CD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C5CD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228179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2A567C" w:rsidRDefault="00C36B6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C36B62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https://app.crepc.sk/?fn=ResultFormChildWTQC&amp;seo=CREP%C4%8C-Zoznam-z%C3%A1znamov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6D641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  <w:r w:rsidRPr="006D6416">
              <w:rPr>
                <w:rFonts w:ascii="Calibri" w:hAnsi="Calibri" w:cs="Calibri"/>
                <w:sz w:val="16"/>
                <w:szCs w:val="16"/>
                <w:lang w:val="en-US" w:eastAsia="sk-SK"/>
              </w:rPr>
              <w:t>https://clinicalsocialwork.eu/wp-content/uploads/2020/01/07-jackulikova-1.pdf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6D6416" w:rsidRDefault="00C26A50" w:rsidP="006D641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Mária [Autor, 14.29%] ; </w:t>
            </w:r>
            <w:proofErr w:type="spellStart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14.285%] ; </w:t>
            </w:r>
            <w:proofErr w:type="spellStart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Bartkovjak</w:t>
            </w:r>
            <w:proofErr w:type="spellEnd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Marián [Autor, 14.285%] ; </w:t>
            </w:r>
            <w:proofErr w:type="spellStart"/>
            <w:r w:rsidR="006D6416" w:rsidRPr="006D6416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="006D6416" w:rsidRPr="006D6416">
              <w:rPr>
                <w:rFonts w:cstheme="minorHAnsi"/>
                <w:b/>
                <w:color w:val="333333"/>
                <w:sz w:val="16"/>
                <w:szCs w:val="16"/>
                <w:shd w:val="clear" w:color="auto" w:fill="FFFFFF"/>
              </w:rPr>
              <w:t>, Gertrúda [Autor, 14.285%] ;</w:t>
            </w:r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Vlastimil [Autor, 14.285%] ; Oláh, Michal [Autor, 14.285%] ; </w:t>
            </w:r>
            <w:proofErr w:type="spellStart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Miklošková</w:t>
            </w:r>
            <w:proofErr w:type="spellEnd"/>
            <w:r w:rsidR="006D6416" w:rsidRPr="006D641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Monika [Autor, 14.285%]. – WOS CC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5679" w:rsidRPr="00725679" w:rsidRDefault="00725679" w:rsidP="007256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Hlavným predmetom práce je porovnanie oficiálnych štatistických dokumentov týkajúcich sa azylu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systému a kvality života maloletých bez sprievodu v</w:t>
            </w:r>
          </w:p>
          <w:p w:rsidR="00725679" w:rsidRPr="00725679" w:rsidRDefault="00725679" w:rsidP="007256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ich prijatia do Grécka a Talianska, ktoré sú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 popredí prílevu migrantov. Analyzovaným obdobím je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rok 2018. Medzinárodné organizácie sa na základe princípov Charty OSN zaoberajú potrebami maloletých a zdôrazňujú</w:t>
            </w:r>
          </w:p>
          <w:p w:rsidR="00F76DFF" w:rsidRPr="006E4123" w:rsidRDefault="00725679" w:rsidP="0072567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univerzálnosť práv detí. Analýza služieb ochrany detí dostupných v oboch krajinách odhaľuje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neefektívnos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ť</w:t>
            </w:r>
            <w:r w:rsidRPr="00725679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súčasných systémov.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76DFF" w:rsidRDefault="00B710C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A973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Pr="00725679" w:rsidRDefault="00725679" w:rsidP="009E3E36">
            <w:pPr>
              <w:pStyle w:val="PredformtovanHTML"/>
              <w:shd w:val="clear" w:color="auto" w:fill="F8F9FA"/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Migration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minors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has a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lot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common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migration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adults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as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well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as a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few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features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related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vulnerability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underage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principal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subject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thesis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comparison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official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statistical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documents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concerning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asylum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quality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lives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unaccompanied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minors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process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their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admission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into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Greece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Italy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which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are at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forefront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migrant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influx.The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period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analysed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year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2018.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Based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principles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UN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Charter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international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organizations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deal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minors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’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needs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emphasize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universality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children’s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rights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analysis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children´s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protection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services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available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both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countries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uncovers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inefficiencies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systems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currently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place</w:t>
            </w:r>
            <w:proofErr w:type="spellEnd"/>
            <w:r w:rsidRPr="00725679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F76DFF" w:rsidP="009E3E36">
            <w:pPr>
              <w:spacing w:after="0" w:line="240" w:lineRule="auto"/>
              <w:jc w:val="both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6DFF" w:rsidRDefault="006014C3" w:rsidP="00BD5A2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Počet  maloletých migrantov bez sprievodu naďalej stúpa. Tento jav sa stáva čoraz zložitejším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="00BD5A2D">
              <w:rPr>
                <w:rFonts w:ascii="Calibri" w:hAnsi="Calibri" w:cs="Calibri"/>
                <w:color w:val="000000"/>
                <w:sz w:val="16"/>
                <w:szCs w:val="16"/>
              </w:rPr>
              <w:t>zvyšuje sa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počet neplnoletých migrantov hľadajúcich</w:t>
            </w:r>
            <w:r w:rsidR="007D5A5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azyl v Grécku a Taliansku, čo sú dv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e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krajiny, ktoré sú najviac postihnuté migráciou.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Rovnako ako dospelí, aj deti čelia hrozným cestám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skúsenosti, ktoré sa vyskytujú počas troch etáp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úteku. Počiatočná fáza je v</w:t>
            </w:r>
            <w:r w:rsidR="007D5A5E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krajine</w:t>
            </w:r>
            <w:r w:rsidR="007D5A5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ich pôvod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u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, po ktorom nasleduje prechod do bezpečia,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pričom konečnou fázou je príchod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prijatie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v hostiteľskej krajine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Podmienky</w:t>
            </w:r>
            <w:r w:rsidR="00BD5A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prijatia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sú </w:t>
            </w:r>
            <w:r w:rsidR="00BD5A2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často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bohužiaľ veľmi ponižujúce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neľudské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./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number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arrivals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unaccompanied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underage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continues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rise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phenomenon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becoming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increasingly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complex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to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high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number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underage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looking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asylum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Greece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Italy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two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affected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most.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Just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like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adults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children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face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horrible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roads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experiences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occur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three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stages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of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escape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initial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stage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 of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origin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followed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passage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safety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final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stage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being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arrival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reception</w:t>
            </w:r>
            <w:proofErr w:type="spellEnd"/>
            <w:r w:rsidR="007D5A5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host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country.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under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received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unfortunately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very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humiliating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inhuman</w:t>
            </w:r>
            <w:proofErr w:type="spellEnd"/>
            <w:r w:rsidRPr="006014C3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A5E" w:rsidRPr="007D5A5E" w:rsidRDefault="007D5A5E" w:rsidP="007D5A5E">
            <w:pPr>
              <w:spacing w:after="0" w:line="240" w:lineRule="auto"/>
              <w:jc w:val="both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Maloletí migranti bez sprievodu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majú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často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poškodené zdravie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Rozhodujúce faktory pre zdravie migrantov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sú do značnej miery určené dostupnosťou, prístupnosťou, prijateľnosťou a kvalitou služieb v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hostiteľsk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ej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krajin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Sociálne utrpenie detí je v mnohých prípadoch porovnateľné s utrpením dospelých.</w:t>
            </w:r>
          </w:p>
          <w:p w:rsidR="007D5A5E" w:rsidRPr="007D5A5E" w:rsidRDefault="007D5A5E" w:rsidP="007D5A5E">
            <w:pPr>
              <w:spacing w:after="0" w:line="240" w:lineRule="auto"/>
              <w:jc w:val="both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Porovnávacia analýza poskytuje informácie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 situácii maloletých bez sprievodu</w:t>
            </w:r>
          </w:p>
          <w:p w:rsidR="007D5A5E" w:rsidRPr="007D5A5E" w:rsidRDefault="007D5A5E" w:rsidP="007D5A5E">
            <w:pPr>
              <w:spacing w:after="0" w:line="240" w:lineRule="auto"/>
              <w:jc w:val="both"/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</w:pP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v priebehu roka 2018. V našom výskume upozorňujeme na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fungovanie </w:t>
            </w:r>
          </w:p>
          <w:p w:rsidR="00F76DFF" w:rsidRDefault="007D5A5E" w:rsidP="007D5A5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azylov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ého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systém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u,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vylúčenie detí, 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ktoré sa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môže pretransformovať na vážne psychické ako aj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fyzické problémy.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Z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men</w:t>
            </w:r>
            <w:r w:rsidR="00007E4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spôsobu, akým sa hostiteľské krajiny zaoberajú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migrantmi musí iniciovať UNHCR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 EÚ./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unaccompanied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underage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migrants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have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damaged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health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decisive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factors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for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health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migrants</w:t>
            </w:r>
            <w:proofErr w:type="spellEnd"/>
            <w:r w:rsidR="00007E4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are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largely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determined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by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availability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accessibility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acceptability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and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quality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services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in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host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country.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suffering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children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comparable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in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many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cases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to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suffering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adults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comparative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analysis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rendres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information</w:t>
            </w:r>
            <w:proofErr w:type="spellEnd"/>
            <w:r w:rsidR="00007E4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regarding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situation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unaccompanied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minors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during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2018. In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our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research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highlight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way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asylum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system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works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how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it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causes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exclusion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children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, and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how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this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social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exclusion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can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transform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to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serious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mental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well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as</w:t>
            </w:r>
            <w:r w:rsidR="00007E4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bookmarkStart w:id="1" w:name="_GoBack"/>
            <w:bookmarkEnd w:id="1"/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physical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problems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.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Change of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how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host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contries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deal</w:t>
            </w:r>
            <w:proofErr w:type="spellEnd"/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with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migrants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must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be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iniciated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by </w:t>
            </w:r>
            <w:proofErr w:type="spellStart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the</w:t>
            </w:r>
            <w:proofErr w:type="spellEnd"/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UNHCR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Pr="007D5A5E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</w:rPr>
              <w:t>and EU.</w:t>
            </w:r>
          </w:p>
          <w:p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76DFF" w:rsidRDefault="00F76DFF"/>
    <w:sectPr w:rsidR="00F76DFF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0C6" w:rsidRDefault="00B710C6">
      <w:pPr>
        <w:spacing w:line="240" w:lineRule="auto"/>
      </w:pPr>
      <w:r>
        <w:separator/>
      </w:r>
    </w:p>
  </w:endnote>
  <w:endnote w:type="continuationSeparator" w:id="0">
    <w:p w:rsidR="00B710C6" w:rsidRDefault="00B71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0C6" w:rsidRDefault="00B710C6">
      <w:pPr>
        <w:spacing w:after="0"/>
      </w:pPr>
      <w:r>
        <w:separator/>
      </w:r>
    </w:p>
  </w:footnote>
  <w:footnote w:type="continuationSeparator" w:id="0">
    <w:p w:rsidR="00B710C6" w:rsidRDefault="00B710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DFF" w:rsidRDefault="00F76DF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7E4E"/>
    <w:rsid w:val="00190A9C"/>
    <w:rsid w:val="001C71D2"/>
    <w:rsid w:val="00211BB7"/>
    <w:rsid w:val="002A567C"/>
    <w:rsid w:val="003F48AE"/>
    <w:rsid w:val="00431D44"/>
    <w:rsid w:val="004C0ADE"/>
    <w:rsid w:val="005C5CDB"/>
    <w:rsid w:val="006014C3"/>
    <w:rsid w:val="00615D3F"/>
    <w:rsid w:val="006D6416"/>
    <w:rsid w:val="006E4123"/>
    <w:rsid w:val="00711A0C"/>
    <w:rsid w:val="00725679"/>
    <w:rsid w:val="0072726E"/>
    <w:rsid w:val="0073261A"/>
    <w:rsid w:val="007D5A5E"/>
    <w:rsid w:val="007F1049"/>
    <w:rsid w:val="00927709"/>
    <w:rsid w:val="009D6D1A"/>
    <w:rsid w:val="009E3E36"/>
    <w:rsid w:val="00A545F6"/>
    <w:rsid w:val="00A973C8"/>
    <w:rsid w:val="00B710C6"/>
    <w:rsid w:val="00B95C76"/>
    <w:rsid w:val="00BD5A2D"/>
    <w:rsid w:val="00BF43D0"/>
    <w:rsid w:val="00C26A50"/>
    <w:rsid w:val="00C36B62"/>
    <w:rsid w:val="00EC29F7"/>
    <w:rsid w:val="00F76DFF"/>
    <w:rsid w:val="00FA00D0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7F5C3-2116-4325-BE61-8DB77FAB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1555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VSSVA 02</cp:lastModifiedBy>
  <cp:revision>22</cp:revision>
  <dcterms:created xsi:type="dcterms:W3CDTF">2022-03-10T08:22:00Z</dcterms:created>
  <dcterms:modified xsi:type="dcterms:W3CDTF">2022-08-15T09:21:00Z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